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w:t>
      </w:r>
      <w:r>
        <w:rPr>
          <w:rFonts w:ascii="Times New Roman" w:hAnsi="Times New Roman" w:eastAsia="方正仿宋_GBK"/>
          <w:sz w:val="32"/>
          <w:szCs w:val="32"/>
        </w:rPr>
        <w:t>—</w:t>
      </w:r>
      <w:r>
        <w:rPr>
          <w:rFonts w:hint="eastAsia" w:ascii="Times New Roman" w:hAnsi="Times New Roman" w:eastAsia="方正仿宋_GBK" w:cs="Times New Roman"/>
          <w:sz w:val="32"/>
          <w:szCs w:val="32"/>
        </w:rPr>
        <w:t>1</w:t>
      </w:r>
    </w:p>
    <w:p>
      <w:pPr>
        <w:spacing w:line="560" w:lineRule="exact"/>
        <w:jc w:val="right"/>
        <w:rPr>
          <w:rFonts w:hint="eastAsia" w:ascii="Times New Roman" w:hAnsi="Times New Roman" w:eastAsia="方正仿宋_GBK" w:cs="Times New Roman"/>
          <w:sz w:val="32"/>
          <w:szCs w:val="32"/>
        </w:rPr>
      </w:pPr>
    </w:p>
    <w:p>
      <w:pPr>
        <w:spacing w:line="560" w:lineRule="exact"/>
        <w:jc w:val="center"/>
        <w:rPr>
          <w:rFonts w:hint="eastAsia" w:ascii="Times New Roman" w:hAnsi="Times New Roman" w:eastAsia="方正小标宋_GBK" w:cs="Times New Roman"/>
          <w:bCs/>
          <w:kern w:val="0"/>
          <w:sz w:val="44"/>
          <w:szCs w:val="44"/>
        </w:rPr>
      </w:pPr>
      <w:r>
        <w:rPr>
          <w:rFonts w:hint="eastAsia" w:ascii="Times New Roman" w:hAnsi="Times New Roman" w:eastAsia="方正小标宋_GBK" w:cs="Times New Roman"/>
          <w:bCs/>
          <w:kern w:val="0"/>
          <w:sz w:val="44"/>
          <w:szCs w:val="44"/>
        </w:rPr>
        <w:t>教育部等八部门关于加快构建高校</w:t>
      </w:r>
      <w:r>
        <w:rPr>
          <w:rFonts w:hint="eastAsia" w:ascii="Times New Roman" w:hAnsi="Times New Roman" w:eastAsia="方正小标宋_GBK" w:cs="Times New Roman"/>
          <w:bCs/>
          <w:kern w:val="0"/>
          <w:sz w:val="44"/>
          <w:szCs w:val="44"/>
        </w:rPr>
        <w:br w:type="textWrapping"/>
      </w:r>
      <w:r>
        <w:rPr>
          <w:rFonts w:hint="eastAsia" w:ascii="Times New Roman" w:hAnsi="Times New Roman" w:eastAsia="方正小标宋_GBK" w:cs="Times New Roman"/>
          <w:bCs/>
          <w:kern w:val="0"/>
          <w:sz w:val="44"/>
          <w:szCs w:val="44"/>
        </w:rPr>
        <w:t>思想政治工作体系的意见</w:t>
      </w:r>
    </w:p>
    <w:p>
      <w:pPr>
        <w:spacing w:line="560" w:lineRule="exact"/>
        <w:jc w:val="center"/>
        <w:rPr>
          <w:rFonts w:hint="eastAsia" w:ascii="Times New Roman" w:hAnsi="Times New Roman" w:eastAsia="方正小标宋_GBK" w:cs="Times New Roman"/>
          <w:bCs/>
          <w:kern w:val="0"/>
          <w:sz w:val="44"/>
          <w:szCs w:val="44"/>
        </w:rPr>
      </w:pP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教育厅（教委）、党委组织部、党委宣传部、党委政法委、网信办、财政厅（局）、人力资源社会保障厅（局）、团委，新疆生产建设兵团教育局、党委组织部、党委宣传部、党委政法委、网信办、财政局、人力资源社会保障局、团委，部属各高等学校、部省合建各高等学校：</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深入贯彻落实习近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一、指导思想和目标任务</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指导思想。以习近平新时代中国特色社会主义思想为指导，全面贯彻党的教育方针，坚持和加强党的全面领导，坚持社会主义办学方向，以立德树人为根本，以理想信念教育为核心，以培育和践行社会主义核心价值观为主线，以建立完善全员、全程、全方位育人体制机制为关键，全面提升高校思想政治工作质量。</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二、理论武装体系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加强政治引领。把坚持以马克思主义为指导落实到教育教学各方面，对各种错误观点和思潮旗帜鲜明予以抵制。全面推动习近平新时代中国特色社会主义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面英雄模范人物进校园开展思想政治教育。</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思政课教师年度人物、高校辅导员年度人物、大学生年度人物等先进典型的宣传选树。</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三、学科教学体系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课资源平台和网络集体备课平台。</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课程思政建设，文学、历史学、哲学类专业课程要帮助学生掌握马克思主义世界观和方法论，从历史与现实、理论与实践等相结合的维度深刻理解习近平新时代中国特色社会主义思想。经济学、管理学、法学类专业课程要培育学生经世济民、诚信服务、德法兼修的职业素养。教育学类专业课程要注重加强师德师风教育，引导学生树立学为人师、行为世范的职业理想。</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全面推进所有学科课程思政建设。统筹课程思政与思政课程建设，构建全面覆盖、类型丰富、层次递进、相互支撑的课程体系。重点建设一批提高大学生思想道德修养、人文素质、科学精神和认知能力的公共基础课程。理学、工学类专业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医者仁心教育，教育引导学生尊重患者，学会沟通，提升综合素养。艺术学类专业课程要教育引导学生树立正确的艺术观和创作观，积极弘扬中华美育精神。</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四、日常教育体系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11.繁荣校园文化。坚持培育优良校风教风学风，持续开展文明校园创建活动。建设一批文化传承基地。发挥校园建筑景观、文物和校史校训校歌的文化价值。加强高校原创文化精品创作与推广。</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12.加强网络育人。提升校园新媒体网络平台的服务力、吸引力和粘合度，切实增强易班网、中国大学生在线等网络阵地的示范性、引领性和辐射度，重点建设一批高校思政类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五、管理服务体系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14.提高管理服务水平。健全管理服务育人制度体系，宣传推广一批管理服务育人的先进经验和典型做法，大力营造治理有方、管理到位、风清气正的制度育人环境。</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15.加强群团组织建设。增强工会、共青团、妇联等群团组织的政治性、先进性、群众性。推动学生会（研究生会）改革，强化党的领导，健全骨干遴选程序。加强学生社团建设管理，着力构建党委统一领导、团委具体管理的工作机制，配齐配强指导教师，突出分类指导，支持有序发展。</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16.推动“一站式”学生社区建设。依托书院、宿舍等学生生活园区，探索学生组织形式、管理模式、服务机制改革，推进党团组织、管理部门、服务单位等进驻园区开展工作，把校院领导力量、管理力量、服务力量、思政力量压到教育管理服务学生一线，将园区打造成为集学生思想教育、师生交流、文化活动、生活服务于一体的教育生活园地。</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17.完善精准资助育人。精准认定家庭经济困难学生，健全四级资助认定工作机制，完善档案、动态管理。建设发展型资助体系，加大家庭经济困难学生能力素养培育力度。</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六、安全稳定体系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18.强化高校政治安全。认真落实意识形态工作责任制，加强高校思想文化阵地管理，严格实行审批制度。坚决抵御境外利用宗教渗透，防范校园传教活动。</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19.加强国家安全教育。持续推动国家安全教育进学校、进教材、进头脑，把集中教育活动与日常教育活动、课堂教育教学与社会实践相结合。建立健全国家安全教育长效机制，不断充实教育内容，完善教学体系。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20.筑牢校园安全防线。切实保护学生生命安全、财产安全、身体健康，严格落实安全防范工作规范要求，强化安全基础建设，完善校园及周边治安综合治理机制。</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21.健全安全责任体系。落实高校安全管理主体责任，完善相应协调和会商机制，落实“一岗双责”。完善预警预防、综合研判、应急处置、督查报告、责任追究等工作制度。</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七、队伍建设体系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22.建设高水平教师队伍。按照“四有”好老师要求，落实政治理论学习、培训轮训、实践锻炼等制度。完善教师评聘考核办法，把师德师风作为评价教师队伍素质第一标准。实施课程思政教师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不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思政课教师和辅导员岗位津贴，纳入绩效工资管理，相应核增学校绩效工资总量。各高校应按照在校生总数每生每年不低于20元的标准设立思想政治工作和党务工作队伍建设专项经费。</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pPr>
        <w:widowControl/>
        <w:shd w:val="clear" w:color="auto" w:fill="FFFFFF"/>
        <w:spacing w:line="480" w:lineRule="atLeast"/>
        <w:ind w:firstLine="640" w:firstLineChars="200"/>
        <w:jc w:val="left"/>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八、评估督导体系</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26.完善推进落实机制。明确责任分工，细化实施方案，及时研究解决重点问题。将高校思想政治工作纳入整体发展规划和年度工作计划，明确路线图、时间表、责任人。</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27.健全督导问责机制。强化高校思想政治工作督导考核，对履职尽责不力、不及时的，加大追责力度。实行校、院系、基层党组织书记抓党建和思想政治工作述职评议考核制度，纳入党纪监督检查范围。</w:t>
      </w:r>
    </w:p>
    <w:p>
      <w:pPr>
        <w:widowControl/>
        <w:shd w:val="clear" w:color="auto" w:fill="FFFFFF"/>
        <w:spacing w:line="480" w:lineRule="atLeast"/>
        <w:jc w:val="left"/>
        <w:rPr>
          <w:rFonts w:hint="eastAsia" w:ascii="Times New Roman" w:hAnsi="Times New Roman" w:eastAsia="方正黑体_GBK" w:cs="Times New Roman"/>
          <w:sz w:val="32"/>
          <w:szCs w:val="32"/>
        </w:rPr>
      </w:pPr>
      <w:r>
        <w:rPr>
          <w:rFonts w:hint="eastAsia" w:ascii="微软雅黑" w:hAnsi="微软雅黑" w:eastAsia="微软雅黑" w:cs="宋体"/>
          <w:color w:val="4B4B4B"/>
          <w:kern w:val="0"/>
          <w:sz w:val="27"/>
          <w:szCs w:val="27"/>
        </w:rPr>
        <w:t>　　</w:t>
      </w:r>
      <w:r>
        <w:rPr>
          <w:rFonts w:hint="eastAsia" w:ascii="Times New Roman" w:hAnsi="Times New Roman" w:eastAsia="方正黑体_GBK" w:cs="Times New Roman"/>
          <w:sz w:val="32"/>
          <w:szCs w:val="32"/>
        </w:rPr>
        <w:t>九、组织领导和实施保障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bookmarkStart w:id="0" w:name="_GoBack"/>
      <w:bookmarkEnd w:id="0"/>
      <w:r>
        <w:rPr>
          <w:rFonts w:hint="eastAsia" w:ascii="Times New Roman" w:hAnsi="Times New Roman" w:eastAsia="方正仿宋_GBK" w:cs="Times New Roman"/>
          <w:sz w:val="32"/>
          <w:szCs w:val="32"/>
        </w:rPr>
        <w:t>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pPr>
        <w:widowControl/>
        <w:shd w:val="clear" w:color="auto" w:fill="FFFFFF"/>
        <w:spacing w:line="480" w:lineRule="atLeast"/>
        <w:ind w:firstLine="640" w:firstLineChars="200"/>
        <w:jc w:val="lef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pPr>
        <w:widowControl/>
        <w:shd w:val="clear" w:color="auto" w:fill="FFFFFF"/>
        <w:spacing w:line="480" w:lineRule="atLeas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教育部 中共中央组织部 中共中央宣传部</w:t>
      </w:r>
    </w:p>
    <w:p>
      <w:pPr>
        <w:widowControl/>
        <w:shd w:val="clear" w:color="auto" w:fill="FFFFFF"/>
        <w:spacing w:line="480" w:lineRule="atLeas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中共中央政法委员会 中央网络安全和信息化委员会办公室</w:t>
      </w:r>
    </w:p>
    <w:p>
      <w:pPr>
        <w:widowControl/>
        <w:shd w:val="clear" w:color="auto" w:fill="FFFFFF"/>
        <w:spacing w:line="480" w:lineRule="atLeas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财政部 人力资源社会保障部 共青团中央</w:t>
      </w:r>
    </w:p>
    <w:p>
      <w:pPr>
        <w:widowControl/>
        <w:shd w:val="clear" w:color="auto" w:fill="FFFFFF"/>
        <w:spacing w:line="480" w:lineRule="atLeas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2020年4月22日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6B"/>
    <w:rsid w:val="00203309"/>
    <w:rsid w:val="0053632D"/>
    <w:rsid w:val="00A04E83"/>
    <w:rsid w:val="00A644DC"/>
    <w:rsid w:val="00F65C6B"/>
    <w:rsid w:val="4D7B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818</Words>
  <Characters>4666</Characters>
  <Lines>38</Lines>
  <Paragraphs>10</Paragraphs>
  <TotalTime>4</TotalTime>
  <ScaleCrop>false</ScaleCrop>
  <LinksUpToDate>false</LinksUpToDate>
  <CharactersWithSpaces>5474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2021-03-28T12:21:00Z</dcterms:created>
  <dc:creator>admin</dc:creator>
  <cp:lastModifiedBy>Lenovo</cp:lastModifiedBy>
  <dcterms:modified xsi:type="dcterms:W3CDTF">2021-03-29T08:13:29Z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447D3109E25E4993B1893983427AB283</vt:lpwstr>
  </property>
</Properties>
</file>