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中共中央 国务院</w:t>
      </w:r>
    </w:p>
    <w:p>
      <w:pPr>
        <w:spacing w:line="56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印发《新时代爱国主义教育实施纲要》</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新华社北京11月12日电 近日，中共中央、国务院印发了《新时代爱国主义教育实施纲要》，并发出通知，要求各地区各部门结合实际认真贯彻落实。</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《新时代爱国主义教育实施纲要》全文如下。</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坚持把实现中华民族伟大复兴的中国梦作为鲜明主题。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坚持以立为本、重在建设。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pPr>
        <w:widowControl/>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二、基本内容</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大力弘扬民族精神和时代精神。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三、新时代爱国主义教育要面向全体人民、聚焦青少年</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民族地区、边疆地区、贫困地区，开展调研考察和咨询服务，深入了解国情，坚定爱国追求。</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四、丰富新时代爱国主义教育的实践载体</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五、营造新时代爱国主义教育的浓厚氛围</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27．发挥先进典型的引领作用。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29．唱响互联网爱国主义主旋律。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pPr>
        <w:widowControl/>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六、加强对新时代爱国主义教育的组织领导</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各地区各部门要根据本纲要制定贯彻落实的具体措施，确保爱国主义教育各项任务要求落到实处。</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中国人民解放军和中国人民武装警察部队按照本纲要总的要求，结合部队实际制定具体规划、作出安排部署。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C2"/>
    <w:rsid w:val="00203309"/>
    <w:rsid w:val="008C24A3"/>
    <w:rsid w:val="009E04C2"/>
    <w:rsid w:val="00A04E83"/>
    <w:rsid w:val="00BD1BE0"/>
    <w:rsid w:val="0474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1426</Words>
  <Characters>8130</Characters>
  <Lines>67</Lines>
  <Paragraphs>19</Paragraphs>
  <TotalTime>71</TotalTime>
  <ScaleCrop>false</ScaleCrop>
  <LinksUpToDate>false</LinksUpToDate>
  <CharactersWithSpaces>9537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2021-03-28T12:15:00Z</dcterms:created>
  <dc:creator>admin</dc:creator>
  <cp:lastModifiedBy>Lenovo</cp:lastModifiedBy>
  <dcterms:modified xsi:type="dcterms:W3CDTF">2021-03-29T07:56:23Z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768C1C0FEF7349FD9D0EE4CA6ACAAFFF</vt:lpwstr>
  </property>
</Properties>
</file>