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Times New Roman" w:hAnsi="Times New Roman" w:eastAsia="方正小标宋_GBK" w:cs="Times New Roman"/>
          <w:b w:val="0"/>
          <w:bCs/>
          <w:kern w:val="0"/>
          <w:sz w:val="44"/>
          <w:szCs w:val="44"/>
          <w:lang w:val="en-US" w:eastAsia="zh-CN" w:bidi="ar-SA"/>
        </w:rPr>
      </w:pPr>
      <w:r>
        <w:rPr>
          <w:rFonts w:hint="eastAsia" w:ascii="Times New Roman" w:hAnsi="Times New Roman" w:eastAsia="方正小标宋_GBK" w:cs="Times New Roman"/>
          <w:b w:val="0"/>
          <w:bCs/>
          <w:kern w:val="0"/>
          <w:sz w:val="44"/>
          <w:szCs w:val="44"/>
          <w:lang w:val="en-US" w:eastAsia="zh-CN" w:bidi="ar-SA"/>
        </w:rPr>
        <w:t>中共中央 国务院印发《关于新时代加强和改进思想政治工作的意见》</w:t>
      </w:r>
    </w:p>
    <w:p>
      <w:pPr>
        <w:jc w:val="right"/>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2021-07-12 来源： 新华社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新华社北京7月12日电 在中国共产党成立100周年之际，中共中央、国务院印发了《关于新时代加强和改进思想政治工作的意见》（以下简称《意见》）。</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治工作质量和水平、推动新时代思想政治工作守正创新发展、构建共同推进思想政治工作的大格局六个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明确，新时代加强和改进思想政治工作的指导思想是：以习近平新时代中国特色社会主义思想为指导，全面贯彻党的十九大和十九届二中、三中、四中、五中全会精神，增强“四个意识”、坚定“四个自信”、做到“两个维护”，紧紧围绕统筹推进“五位一体”总体布局和协调推进“四个全面”战略布局，坚持稳中求进工作总基调，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两个维护”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研判机制，培育自尊自信、理性平和、积极向上的社会心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pPr>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D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2021-07-17T09:58:51Z</dcterms:created>
  <dc:creator>Lenovo</dc:creator>
  <cp:lastModifiedBy>152----0018</cp:lastModifiedBy>
  <dcterms:modified xsi:type="dcterms:W3CDTF">2021-07-17T10:01:17Z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3DCD66F0E52849BE92FFEA09CE384265</vt:lpwstr>
  </property>
</Properties>
</file>